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2090"/>
        <w:gridCol w:w="565"/>
        <w:gridCol w:w="3784"/>
        <w:gridCol w:w="3784"/>
        <w:gridCol w:w="3784"/>
        <w:gridCol w:w="565"/>
      </w:tblGrid>
      <w:tr w:rsidR="00C2635C" w:rsidRPr="008E2758" w:rsidTr="00013D97">
        <w:tc>
          <w:tcPr>
            <w:tcW w:w="2090" w:type="dxa"/>
            <w:tcBorders>
              <w:bottom w:val="single" w:sz="4" w:space="0" w:color="auto"/>
            </w:tcBorders>
            <w:shd w:val="clear" w:color="auto" w:fill="F18213"/>
            <w:tcMar>
              <w:top w:w="57" w:type="dxa"/>
              <w:bottom w:w="57" w:type="dxa"/>
            </w:tcMar>
            <w:vAlign w:val="center"/>
          </w:tcPr>
          <w:p w:rsidR="00F93728" w:rsidRPr="008E2758" w:rsidRDefault="00F93728" w:rsidP="00426453">
            <w:pPr>
              <w:spacing w:line="240" w:lineRule="auto"/>
              <w:rPr>
                <w:b/>
                <w:caps/>
                <w:color w:val="FFFFFF"/>
                <w:sz w:val="18"/>
                <w:szCs w:val="18"/>
                <w:lang w:bidi="x-none"/>
              </w:rPr>
            </w:pPr>
            <w:r w:rsidRPr="008E2758">
              <w:rPr>
                <w:b/>
                <w:caps/>
                <w:color w:val="FFFFFF"/>
                <w:sz w:val="18"/>
                <w:szCs w:val="18"/>
                <w:lang w:bidi="x-none"/>
              </w:rPr>
              <w:t>Kenmerk</w:t>
            </w:r>
          </w:p>
        </w:tc>
        <w:tc>
          <w:tcPr>
            <w:tcW w:w="565" w:type="dxa"/>
            <w:tcBorders>
              <w:bottom w:val="single" w:sz="4" w:space="0" w:color="auto"/>
            </w:tcBorders>
            <w:shd w:val="clear" w:color="auto" w:fill="F18213"/>
            <w:tcMar>
              <w:top w:w="57" w:type="dxa"/>
              <w:bottom w:w="57" w:type="dxa"/>
            </w:tcMar>
            <w:vAlign w:val="center"/>
          </w:tcPr>
          <w:p w:rsidR="00F93728" w:rsidRPr="008E2758" w:rsidRDefault="00F93728" w:rsidP="001F1098">
            <w:pPr>
              <w:spacing w:line="240" w:lineRule="auto"/>
              <w:jc w:val="center"/>
              <w:rPr>
                <w:b/>
                <w:caps/>
                <w:color w:val="FFFFFF"/>
                <w:sz w:val="18"/>
                <w:szCs w:val="18"/>
                <w:lang w:bidi="x-none"/>
              </w:rPr>
            </w:pPr>
            <w:r w:rsidRPr="008E2758">
              <w:rPr>
                <w:b/>
                <w:caps/>
                <w:color w:val="FFFFFF"/>
                <w:sz w:val="18"/>
                <w:szCs w:val="18"/>
                <w:lang w:bidi="x-none"/>
              </w:rPr>
              <w:t>-</w:t>
            </w:r>
          </w:p>
        </w:tc>
        <w:tc>
          <w:tcPr>
            <w:tcW w:w="3784" w:type="dxa"/>
            <w:tcBorders>
              <w:bottom w:val="single" w:sz="4" w:space="0" w:color="auto"/>
            </w:tcBorders>
            <w:shd w:val="clear" w:color="auto" w:fill="F18213"/>
            <w:tcMar>
              <w:top w:w="57" w:type="dxa"/>
              <w:bottom w:w="57" w:type="dxa"/>
            </w:tcMar>
            <w:vAlign w:val="center"/>
          </w:tcPr>
          <w:p w:rsidR="00F93728" w:rsidRPr="008E2758" w:rsidRDefault="00127F89" w:rsidP="001F1098">
            <w:pPr>
              <w:spacing w:line="240" w:lineRule="auto"/>
              <w:jc w:val="center"/>
              <w:rPr>
                <w:b/>
                <w:caps/>
                <w:color w:val="FFFFFF"/>
                <w:sz w:val="18"/>
                <w:szCs w:val="18"/>
                <w:lang w:bidi="x-none"/>
              </w:rPr>
            </w:pPr>
            <w:r>
              <w:rPr>
                <w:b/>
                <w:caps/>
                <w:color w:val="FFFFFF"/>
                <w:sz w:val="18"/>
                <w:szCs w:val="18"/>
                <w:lang w:bidi="x-none"/>
              </w:rPr>
              <w:t>BEDRIJFSJURIST</w:t>
            </w:r>
            <w:r w:rsidR="00925A08" w:rsidRPr="008E2758">
              <w:rPr>
                <w:b/>
                <w:caps/>
                <w:color w:val="FFFFFF"/>
                <w:sz w:val="18"/>
                <w:szCs w:val="18"/>
                <w:lang w:bidi="x-none"/>
              </w:rPr>
              <w:t xml:space="preserve"> I</w:t>
            </w:r>
          </w:p>
        </w:tc>
        <w:tc>
          <w:tcPr>
            <w:tcW w:w="3784" w:type="dxa"/>
            <w:tcBorders>
              <w:bottom w:val="single" w:sz="4" w:space="0" w:color="auto"/>
            </w:tcBorders>
            <w:shd w:val="clear" w:color="auto" w:fill="F18213"/>
            <w:tcMar>
              <w:top w:w="57" w:type="dxa"/>
              <w:bottom w:w="57" w:type="dxa"/>
            </w:tcMar>
            <w:vAlign w:val="center"/>
          </w:tcPr>
          <w:p w:rsidR="00F93728" w:rsidRPr="008E2758" w:rsidRDefault="00127F89" w:rsidP="001F1098">
            <w:pPr>
              <w:spacing w:line="240" w:lineRule="auto"/>
              <w:jc w:val="center"/>
              <w:rPr>
                <w:b/>
                <w:caps/>
                <w:color w:val="FFFFFF"/>
                <w:sz w:val="18"/>
                <w:szCs w:val="18"/>
                <w:lang w:bidi="x-none"/>
              </w:rPr>
            </w:pPr>
            <w:r>
              <w:rPr>
                <w:b/>
                <w:caps/>
                <w:color w:val="FFFFFF"/>
                <w:sz w:val="18"/>
                <w:szCs w:val="18"/>
                <w:lang w:bidi="x-none"/>
              </w:rPr>
              <w:t>BEDRIJFSJURIST</w:t>
            </w:r>
            <w:r w:rsidR="00925A08" w:rsidRPr="008E2758">
              <w:rPr>
                <w:b/>
                <w:caps/>
                <w:color w:val="FFFFFF"/>
                <w:sz w:val="18"/>
                <w:szCs w:val="18"/>
                <w:lang w:bidi="x-none"/>
              </w:rPr>
              <w:t xml:space="preserve"> II</w:t>
            </w:r>
          </w:p>
        </w:tc>
        <w:tc>
          <w:tcPr>
            <w:tcW w:w="3784" w:type="dxa"/>
            <w:tcBorders>
              <w:bottom w:val="single" w:sz="4" w:space="0" w:color="auto"/>
            </w:tcBorders>
            <w:shd w:val="clear" w:color="auto" w:fill="F18213"/>
            <w:tcMar>
              <w:top w:w="57" w:type="dxa"/>
              <w:bottom w:w="57" w:type="dxa"/>
            </w:tcMar>
            <w:vAlign w:val="center"/>
          </w:tcPr>
          <w:p w:rsidR="00F93728" w:rsidRPr="008E2758" w:rsidRDefault="00127F89" w:rsidP="001F1098">
            <w:pPr>
              <w:spacing w:line="240" w:lineRule="auto"/>
              <w:jc w:val="center"/>
              <w:rPr>
                <w:b/>
                <w:caps/>
                <w:color w:val="FFFFFF"/>
                <w:sz w:val="18"/>
                <w:szCs w:val="18"/>
                <w:lang w:bidi="x-none"/>
              </w:rPr>
            </w:pPr>
            <w:r>
              <w:rPr>
                <w:b/>
                <w:caps/>
                <w:color w:val="FFFFFF"/>
                <w:sz w:val="18"/>
                <w:szCs w:val="18"/>
                <w:lang w:bidi="x-none"/>
              </w:rPr>
              <w:t>BEDRIJFSJURIST</w:t>
            </w:r>
            <w:r w:rsidR="00925A08" w:rsidRPr="008E2758">
              <w:rPr>
                <w:b/>
                <w:caps/>
                <w:color w:val="FFFFFF"/>
                <w:sz w:val="18"/>
                <w:szCs w:val="18"/>
                <w:lang w:bidi="x-none"/>
              </w:rPr>
              <w:t xml:space="preserve"> III</w:t>
            </w:r>
          </w:p>
        </w:tc>
        <w:tc>
          <w:tcPr>
            <w:tcW w:w="565" w:type="dxa"/>
            <w:tcBorders>
              <w:bottom w:val="single" w:sz="4" w:space="0" w:color="auto"/>
            </w:tcBorders>
            <w:shd w:val="clear" w:color="auto" w:fill="F18213"/>
            <w:tcMar>
              <w:top w:w="57" w:type="dxa"/>
              <w:bottom w:w="57" w:type="dxa"/>
            </w:tcMar>
            <w:vAlign w:val="center"/>
          </w:tcPr>
          <w:p w:rsidR="00F93728" w:rsidRPr="008E2758" w:rsidRDefault="00F93728" w:rsidP="001F1098">
            <w:pPr>
              <w:spacing w:line="240" w:lineRule="auto"/>
              <w:jc w:val="center"/>
              <w:rPr>
                <w:b/>
                <w:caps/>
                <w:color w:val="FFFFFF"/>
                <w:sz w:val="18"/>
                <w:szCs w:val="18"/>
                <w:lang w:bidi="x-none"/>
              </w:rPr>
            </w:pPr>
            <w:r w:rsidRPr="008E2758">
              <w:rPr>
                <w:b/>
                <w:caps/>
                <w:color w:val="FFFFFF"/>
                <w:sz w:val="18"/>
                <w:szCs w:val="18"/>
                <w:lang w:bidi="x-none"/>
              </w:rPr>
              <w:t>+</w:t>
            </w:r>
          </w:p>
        </w:tc>
      </w:tr>
      <w:tr w:rsidR="00C2635C" w:rsidRPr="008E2758" w:rsidTr="00013D97">
        <w:trPr>
          <w:trHeight w:val="461"/>
        </w:trPr>
        <w:tc>
          <w:tcPr>
            <w:tcW w:w="2090" w:type="dxa"/>
            <w:tcBorders>
              <w:bottom w:val="single" w:sz="4" w:space="0" w:color="auto"/>
            </w:tcBorders>
            <w:shd w:val="clear" w:color="auto" w:fill="auto"/>
            <w:tcMar>
              <w:top w:w="57" w:type="dxa"/>
              <w:bottom w:w="57" w:type="dxa"/>
            </w:tcMar>
          </w:tcPr>
          <w:p w:rsidR="009E680B" w:rsidRPr="008E2758" w:rsidRDefault="0035757F" w:rsidP="00A166B6">
            <w:pPr>
              <w:spacing w:line="240" w:lineRule="auto"/>
              <w:rPr>
                <w:b/>
                <w:color w:val="F18213"/>
                <w:sz w:val="18"/>
                <w:szCs w:val="18"/>
                <w:lang w:bidi="x-none"/>
              </w:rPr>
            </w:pPr>
            <w:r>
              <w:rPr>
                <w:b/>
                <w:color w:val="F18213"/>
                <w:sz w:val="18"/>
                <w:szCs w:val="18"/>
                <w:lang w:bidi="x-none"/>
              </w:rPr>
              <w:t>Focus</w:t>
            </w:r>
          </w:p>
        </w:tc>
        <w:tc>
          <w:tcPr>
            <w:tcW w:w="565" w:type="dxa"/>
            <w:vMerge w:val="restart"/>
            <w:tcMar>
              <w:top w:w="57" w:type="dxa"/>
              <w:bottom w:w="57" w:type="dxa"/>
            </w:tcMar>
            <w:textDirection w:val="tbRl"/>
            <w:vAlign w:val="center"/>
          </w:tcPr>
          <w:p w:rsidR="009E680B" w:rsidRPr="00030423" w:rsidRDefault="009E680B" w:rsidP="00286818">
            <w:pPr>
              <w:spacing w:line="240" w:lineRule="auto"/>
              <w:jc w:val="center"/>
              <w:rPr>
                <w:color w:val="auto"/>
                <w:sz w:val="18"/>
                <w:szCs w:val="18"/>
                <w:lang w:bidi="x-none"/>
              </w:rPr>
            </w:pPr>
            <w:r w:rsidRPr="00030423">
              <w:rPr>
                <w:color w:val="auto"/>
                <w:sz w:val="18"/>
                <w:szCs w:val="18"/>
                <w:lang w:bidi="x-none"/>
              </w:rPr>
              <w:t>Geen referentiefunctie beschikbaar</w:t>
            </w:r>
          </w:p>
        </w:tc>
        <w:tc>
          <w:tcPr>
            <w:tcW w:w="3784" w:type="dxa"/>
            <w:tcBorders>
              <w:bottom w:val="single" w:sz="4" w:space="0" w:color="auto"/>
            </w:tcBorders>
            <w:tcMar>
              <w:top w:w="57" w:type="dxa"/>
              <w:bottom w:w="57" w:type="dxa"/>
            </w:tcMar>
          </w:tcPr>
          <w:p w:rsidR="009E680B" w:rsidRPr="00030423" w:rsidRDefault="0035757F" w:rsidP="00670F99">
            <w:pPr>
              <w:spacing w:line="240" w:lineRule="auto"/>
              <w:ind w:left="284" w:hanging="284"/>
              <w:rPr>
                <w:color w:val="auto"/>
                <w:sz w:val="18"/>
                <w:szCs w:val="18"/>
              </w:rPr>
            </w:pPr>
            <w:r>
              <w:rPr>
                <w:color w:val="auto"/>
                <w:sz w:val="18"/>
                <w:szCs w:val="18"/>
              </w:rPr>
              <w:t>-</w:t>
            </w:r>
            <w:r>
              <w:rPr>
                <w:color w:val="auto"/>
                <w:sz w:val="18"/>
                <w:szCs w:val="18"/>
              </w:rPr>
              <w:tab/>
            </w:r>
            <w:r w:rsidRPr="00030423">
              <w:rPr>
                <w:color w:val="auto"/>
                <w:sz w:val="18"/>
                <w:szCs w:val="18"/>
              </w:rPr>
              <w:t>Focus van de functie ligt</w:t>
            </w:r>
            <w:r>
              <w:rPr>
                <w:color w:val="auto"/>
                <w:sz w:val="18"/>
                <w:szCs w:val="18"/>
              </w:rPr>
              <w:t xml:space="preserve"> op advisering van de opdrachtgever, het onderbouwen en concretiseren van oplossingen, </w:t>
            </w:r>
            <w:r w:rsidR="00B7721F">
              <w:rPr>
                <w:color w:val="auto"/>
                <w:sz w:val="18"/>
                <w:szCs w:val="18"/>
              </w:rPr>
              <w:t>(intern</w:t>
            </w:r>
            <w:r w:rsidR="00A70C79">
              <w:rPr>
                <w:color w:val="auto"/>
                <w:sz w:val="18"/>
                <w:szCs w:val="18"/>
              </w:rPr>
              <w:t>e</w:t>
            </w:r>
            <w:r w:rsidR="00B7721F">
              <w:rPr>
                <w:color w:val="auto"/>
                <w:sz w:val="18"/>
                <w:szCs w:val="18"/>
              </w:rPr>
              <w:t xml:space="preserve">) </w:t>
            </w:r>
            <w:r>
              <w:rPr>
                <w:color w:val="auto"/>
                <w:sz w:val="18"/>
                <w:szCs w:val="18"/>
              </w:rPr>
              <w:t>uitbesteding en/of afhandeling van juridische disputen en (gerechtelijke) procedures.</w:t>
            </w:r>
          </w:p>
        </w:tc>
        <w:tc>
          <w:tcPr>
            <w:tcW w:w="3784" w:type="dxa"/>
            <w:tcBorders>
              <w:bottom w:val="single" w:sz="4" w:space="0" w:color="auto"/>
            </w:tcBorders>
            <w:shd w:val="clear" w:color="auto" w:fill="D9D9D9" w:themeFill="background1" w:themeFillShade="D9"/>
            <w:tcMar>
              <w:top w:w="57" w:type="dxa"/>
              <w:bottom w:w="57" w:type="dxa"/>
            </w:tcMar>
          </w:tcPr>
          <w:p w:rsidR="001F1098" w:rsidRPr="00030423" w:rsidRDefault="0044065F" w:rsidP="00670F99">
            <w:pPr>
              <w:spacing w:line="240" w:lineRule="auto"/>
              <w:ind w:left="284" w:hanging="284"/>
              <w:rPr>
                <w:color w:val="auto"/>
                <w:sz w:val="18"/>
                <w:szCs w:val="18"/>
              </w:rPr>
            </w:pPr>
            <w:r>
              <w:rPr>
                <w:color w:val="auto"/>
                <w:sz w:val="18"/>
                <w:szCs w:val="18"/>
              </w:rPr>
              <w:t>-</w:t>
            </w:r>
            <w:r>
              <w:rPr>
                <w:color w:val="auto"/>
                <w:sz w:val="18"/>
                <w:szCs w:val="18"/>
              </w:rPr>
              <w:tab/>
            </w:r>
            <w:r w:rsidR="0035757F">
              <w:rPr>
                <w:color w:val="auto"/>
                <w:sz w:val="18"/>
                <w:szCs w:val="18"/>
              </w:rPr>
              <w:t>Gelijk aan I</w:t>
            </w:r>
            <w:r w:rsidR="00A70C79">
              <w:rPr>
                <w:color w:val="auto"/>
                <w:sz w:val="18"/>
                <w:szCs w:val="18"/>
              </w:rPr>
              <w:t>, en</w:t>
            </w:r>
            <w:r w:rsidR="0035757F">
              <w:rPr>
                <w:color w:val="auto"/>
                <w:sz w:val="18"/>
                <w:szCs w:val="18"/>
              </w:rPr>
              <w:t xml:space="preserve"> het uitwerken, aanpassen en overdragen van juridische (beleids-) kaders op basis van veranderende wet- en regelgeving.</w:t>
            </w:r>
          </w:p>
          <w:p w:rsidR="009E680B" w:rsidRPr="00030423" w:rsidRDefault="009E680B" w:rsidP="00670F99">
            <w:pPr>
              <w:spacing w:line="240" w:lineRule="auto"/>
              <w:ind w:hanging="284"/>
              <w:rPr>
                <w:color w:val="auto"/>
                <w:sz w:val="18"/>
                <w:szCs w:val="18"/>
                <w:lang w:bidi="x-none"/>
              </w:rPr>
            </w:pPr>
          </w:p>
        </w:tc>
        <w:tc>
          <w:tcPr>
            <w:tcW w:w="3784" w:type="dxa"/>
            <w:tcBorders>
              <w:bottom w:val="single" w:sz="4" w:space="0" w:color="auto"/>
            </w:tcBorders>
            <w:shd w:val="clear" w:color="auto" w:fill="auto"/>
            <w:tcMar>
              <w:top w:w="57" w:type="dxa"/>
              <w:bottom w:w="57" w:type="dxa"/>
            </w:tcMar>
          </w:tcPr>
          <w:p w:rsidR="001F1098" w:rsidRDefault="0044065F" w:rsidP="00670F99">
            <w:pPr>
              <w:spacing w:line="240" w:lineRule="auto"/>
              <w:ind w:left="284" w:hanging="284"/>
              <w:rPr>
                <w:color w:val="auto"/>
                <w:sz w:val="18"/>
                <w:szCs w:val="18"/>
              </w:rPr>
            </w:pPr>
            <w:r>
              <w:rPr>
                <w:color w:val="auto"/>
                <w:sz w:val="18"/>
                <w:szCs w:val="18"/>
              </w:rPr>
              <w:t>-</w:t>
            </w:r>
            <w:r>
              <w:rPr>
                <w:color w:val="auto"/>
                <w:sz w:val="18"/>
                <w:szCs w:val="18"/>
              </w:rPr>
              <w:tab/>
            </w:r>
            <w:r w:rsidR="00A70C79">
              <w:rPr>
                <w:color w:val="auto"/>
                <w:sz w:val="18"/>
                <w:szCs w:val="18"/>
              </w:rPr>
              <w:t>Gelijk aan I</w:t>
            </w:r>
            <w:r w:rsidR="00E80C1B">
              <w:rPr>
                <w:color w:val="auto"/>
                <w:sz w:val="18"/>
                <w:szCs w:val="18"/>
              </w:rPr>
              <w:t>I</w:t>
            </w:r>
            <w:r w:rsidR="00A70C79">
              <w:rPr>
                <w:color w:val="auto"/>
                <w:sz w:val="18"/>
                <w:szCs w:val="18"/>
              </w:rPr>
              <w:t>, en</w:t>
            </w:r>
            <w:r w:rsidR="00013D97">
              <w:rPr>
                <w:color w:val="auto"/>
                <w:sz w:val="18"/>
                <w:szCs w:val="18"/>
              </w:rPr>
              <w:t xml:space="preserve"> juridisch adviseur/sparringpartner van directie/bestuur.</w:t>
            </w:r>
          </w:p>
          <w:p w:rsidR="00E80C1B" w:rsidRPr="00030423" w:rsidRDefault="00E80C1B" w:rsidP="00670F99">
            <w:pPr>
              <w:spacing w:line="240" w:lineRule="auto"/>
              <w:ind w:left="284" w:hanging="284"/>
              <w:rPr>
                <w:color w:val="auto"/>
                <w:sz w:val="18"/>
                <w:szCs w:val="18"/>
              </w:rPr>
            </w:pPr>
            <w:r>
              <w:rPr>
                <w:color w:val="auto"/>
                <w:sz w:val="18"/>
                <w:szCs w:val="18"/>
              </w:rPr>
              <w:t>-</w:t>
            </w:r>
            <w:r>
              <w:rPr>
                <w:color w:val="auto"/>
                <w:sz w:val="18"/>
                <w:szCs w:val="18"/>
              </w:rPr>
              <w:tab/>
              <w:t>rapporteert direct aan de directie.</w:t>
            </w:r>
          </w:p>
          <w:p w:rsidR="009E680B" w:rsidRPr="00030423" w:rsidRDefault="009E680B" w:rsidP="00670F99">
            <w:pPr>
              <w:spacing w:line="240" w:lineRule="auto"/>
              <w:ind w:hanging="284"/>
              <w:rPr>
                <w:color w:val="auto"/>
                <w:sz w:val="18"/>
                <w:szCs w:val="18"/>
              </w:rPr>
            </w:pPr>
          </w:p>
        </w:tc>
        <w:tc>
          <w:tcPr>
            <w:tcW w:w="565" w:type="dxa"/>
            <w:vMerge w:val="restart"/>
            <w:tcMar>
              <w:top w:w="57" w:type="dxa"/>
              <w:bottom w:w="57" w:type="dxa"/>
            </w:tcMar>
            <w:textDirection w:val="tbRl"/>
            <w:vAlign w:val="center"/>
          </w:tcPr>
          <w:p w:rsidR="009E680B" w:rsidRPr="00030423" w:rsidRDefault="00013D97" w:rsidP="00286818">
            <w:pPr>
              <w:spacing w:line="240" w:lineRule="auto"/>
              <w:jc w:val="center"/>
              <w:rPr>
                <w:color w:val="auto"/>
                <w:sz w:val="18"/>
                <w:szCs w:val="18"/>
                <w:lang w:bidi="x-none"/>
              </w:rPr>
            </w:pPr>
            <w:r>
              <w:rPr>
                <w:color w:val="auto"/>
                <w:sz w:val="18"/>
                <w:szCs w:val="18"/>
                <w:lang w:bidi="x-none"/>
              </w:rPr>
              <w:t>Geen referentiefunctie beschikbaar</w:t>
            </w:r>
          </w:p>
        </w:tc>
      </w:tr>
      <w:tr w:rsidR="00B7721F" w:rsidRPr="008E2758" w:rsidTr="00013D97">
        <w:trPr>
          <w:trHeight w:val="461"/>
        </w:trPr>
        <w:tc>
          <w:tcPr>
            <w:tcW w:w="2090" w:type="dxa"/>
            <w:tcBorders>
              <w:bottom w:val="single" w:sz="4" w:space="0" w:color="auto"/>
            </w:tcBorders>
            <w:shd w:val="clear" w:color="auto" w:fill="auto"/>
            <w:tcMar>
              <w:top w:w="57" w:type="dxa"/>
              <w:bottom w:w="57" w:type="dxa"/>
            </w:tcMar>
          </w:tcPr>
          <w:p w:rsidR="00B7721F" w:rsidRDefault="00B7721F" w:rsidP="00A166B6">
            <w:pPr>
              <w:spacing w:line="240" w:lineRule="auto"/>
              <w:rPr>
                <w:b/>
                <w:color w:val="F18213"/>
                <w:sz w:val="18"/>
                <w:szCs w:val="18"/>
                <w:lang w:bidi="x-none"/>
              </w:rPr>
            </w:pPr>
            <w:r>
              <w:rPr>
                <w:b/>
                <w:color w:val="F18213"/>
                <w:sz w:val="18"/>
                <w:szCs w:val="18"/>
                <w:lang w:bidi="x-none"/>
              </w:rPr>
              <w:t>Complexiteit juridische issues</w:t>
            </w:r>
          </w:p>
        </w:tc>
        <w:tc>
          <w:tcPr>
            <w:tcW w:w="565" w:type="dxa"/>
            <w:vMerge/>
            <w:tcMar>
              <w:top w:w="57" w:type="dxa"/>
              <w:bottom w:w="57" w:type="dxa"/>
            </w:tcMar>
            <w:textDirection w:val="tbRl"/>
            <w:vAlign w:val="center"/>
          </w:tcPr>
          <w:p w:rsidR="00B7721F" w:rsidRPr="00030423" w:rsidRDefault="00B7721F" w:rsidP="001F1098">
            <w:pPr>
              <w:spacing w:line="240" w:lineRule="auto"/>
              <w:ind w:left="284" w:right="113" w:hanging="284"/>
              <w:jc w:val="center"/>
              <w:rPr>
                <w:color w:val="auto"/>
                <w:sz w:val="18"/>
                <w:szCs w:val="18"/>
                <w:lang w:bidi="x-none"/>
              </w:rPr>
            </w:pPr>
          </w:p>
        </w:tc>
        <w:tc>
          <w:tcPr>
            <w:tcW w:w="3784" w:type="dxa"/>
            <w:tcBorders>
              <w:bottom w:val="single" w:sz="4" w:space="0" w:color="auto"/>
            </w:tcBorders>
            <w:tcMar>
              <w:top w:w="57" w:type="dxa"/>
              <w:bottom w:w="57" w:type="dxa"/>
            </w:tcMar>
          </w:tcPr>
          <w:p w:rsidR="00B7721F" w:rsidRPr="00E8323F" w:rsidRDefault="00A70C79" w:rsidP="00B7721F">
            <w:pPr>
              <w:pStyle w:val="Lijstalinea"/>
              <w:numPr>
                <w:ilvl w:val="0"/>
                <w:numId w:val="8"/>
              </w:numPr>
              <w:spacing w:line="240" w:lineRule="auto"/>
              <w:ind w:left="284" w:hanging="284"/>
              <w:rPr>
                <w:color w:val="auto"/>
                <w:sz w:val="18"/>
                <w:szCs w:val="18"/>
                <w:lang w:bidi="x-none"/>
              </w:rPr>
            </w:pPr>
            <w:r>
              <w:rPr>
                <w:rFonts w:cs="Arial"/>
                <w:color w:val="auto"/>
                <w:sz w:val="18"/>
                <w:szCs w:val="18"/>
              </w:rPr>
              <w:t>H</w:t>
            </w:r>
            <w:r w:rsidR="00B7721F" w:rsidRPr="00B7721F">
              <w:rPr>
                <w:rFonts w:cs="Arial"/>
                <w:color w:val="auto"/>
                <w:sz w:val="18"/>
                <w:szCs w:val="18"/>
              </w:rPr>
              <w:t>et</w:t>
            </w:r>
            <w:r>
              <w:rPr>
                <w:rFonts w:cs="Arial"/>
                <w:color w:val="auto"/>
                <w:sz w:val="18"/>
                <w:szCs w:val="18"/>
              </w:rPr>
              <w:t xml:space="preserve"> gaat om</w:t>
            </w:r>
            <w:r w:rsidR="00B7721F" w:rsidRPr="00B7721F">
              <w:rPr>
                <w:rFonts w:cs="Arial"/>
                <w:color w:val="auto"/>
                <w:sz w:val="18"/>
                <w:szCs w:val="18"/>
              </w:rPr>
              <w:t xml:space="preserve"> relatief afgebakende, concrete vraagstukken/problemen, die kunnen worden afgehandeld/opgelost (veelal in de vorm van contractuele afspraken) d</w:t>
            </w:r>
            <w:r>
              <w:rPr>
                <w:rFonts w:cs="Arial"/>
                <w:color w:val="auto"/>
                <w:sz w:val="18"/>
                <w:szCs w:val="18"/>
              </w:rPr>
              <w:t>oor</w:t>
            </w:r>
            <w:r w:rsidR="00B7721F" w:rsidRPr="00B7721F">
              <w:rPr>
                <w:rFonts w:cs="Arial"/>
                <w:color w:val="auto"/>
                <w:sz w:val="18"/>
                <w:szCs w:val="18"/>
              </w:rPr>
              <w:t xml:space="preserve"> interpretatie van wet- en regelgeving en jurisprudentie in relatie tot het vraagstuk/probleem en toetsing van de haalbaarheid van oplossingen aan andere verplichtingen</w:t>
            </w:r>
            <w:r w:rsidR="00E8323F">
              <w:rPr>
                <w:rFonts w:cs="Arial"/>
                <w:color w:val="auto"/>
                <w:sz w:val="18"/>
                <w:szCs w:val="18"/>
              </w:rPr>
              <w:t>.</w:t>
            </w:r>
          </w:p>
        </w:tc>
        <w:tc>
          <w:tcPr>
            <w:tcW w:w="3784" w:type="dxa"/>
            <w:tcBorders>
              <w:bottom w:val="single" w:sz="4" w:space="0" w:color="auto"/>
            </w:tcBorders>
            <w:shd w:val="clear" w:color="auto" w:fill="D9D9D9" w:themeFill="background1" w:themeFillShade="D9"/>
            <w:tcMar>
              <w:top w:w="57" w:type="dxa"/>
              <w:bottom w:w="57" w:type="dxa"/>
            </w:tcMar>
          </w:tcPr>
          <w:p w:rsidR="00B7721F" w:rsidRPr="00B7721F" w:rsidRDefault="00A70C79" w:rsidP="00B7721F">
            <w:pPr>
              <w:pStyle w:val="Lijstalinea"/>
              <w:numPr>
                <w:ilvl w:val="0"/>
                <w:numId w:val="8"/>
              </w:numPr>
              <w:spacing w:line="240" w:lineRule="auto"/>
              <w:ind w:left="284" w:hanging="284"/>
              <w:rPr>
                <w:color w:val="auto"/>
                <w:sz w:val="18"/>
                <w:szCs w:val="18"/>
                <w:lang w:bidi="x-none"/>
              </w:rPr>
            </w:pPr>
            <w:r>
              <w:rPr>
                <w:color w:val="auto"/>
                <w:sz w:val="18"/>
                <w:szCs w:val="18"/>
                <w:lang w:bidi="x-none"/>
              </w:rPr>
              <w:t>H</w:t>
            </w:r>
            <w:r w:rsidR="00B7721F" w:rsidRPr="00B7721F">
              <w:rPr>
                <w:color w:val="auto"/>
                <w:sz w:val="18"/>
                <w:szCs w:val="18"/>
                <w:lang w:bidi="x-none"/>
              </w:rPr>
              <w:t xml:space="preserve">et </w:t>
            </w:r>
            <w:r>
              <w:rPr>
                <w:color w:val="auto"/>
                <w:sz w:val="18"/>
                <w:szCs w:val="18"/>
                <w:lang w:bidi="x-none"/>
              </w:rPr>
              <w:t>gaat om</w:t>
            </w:r>
            <w:r w:rsidR="00B7721F" w:rsidRPr="00B7721F">
              <w:rPr>
                <w:color w:val="auto"/>
                <w:sz w:val="18"/>
                <w:szCs w:val="18"/>
                <w:lang w:bidi="x-none"/>
              </w:rPr>
              <w:t xml:space="preserve"> complexe, ingrijpende juridische vraagstukken/problemen, waarbij aansluitend op de specifieke situatie wordt geadviseerd over de te hanteren juridische strategie en juridische uitgangspunten en een (veelvuldige) afstemming met betrokken partijen benodigd is om te komen tot een voor de organisatie acceptabele oplossing/</w:t>
            </w:r>
            <w:r>
              <w:rPr>
                <w:color w:val="auto"/>
                <w:sz w:val="18"/>
                <w:szCs w:val="18"/>
                <w:lang w:bidi="x-none"/>
              </w:rPr>
              <w:t xml:space="preserve"> </w:t>
            </w:r>
            <w:r w:rsidR="00B7721F" w:rsidRPr="00B7721F">
              <w:rPr>
                <w:color w:val="auto"/>
                <w:sz w:val="18"/>
                <w:szCs w:val="18"/>
                <w:lang w:bidi="x-none"/>
              </w:rPr>
              <w:t>afhandeling;</w:t>
            </w:r>
          </w:p>
          <w:p w:rsidR="00B7721F" w:rsidRPr="00B7721F" w:rsidRDefault="00B7721F" w:rsidP="00B7721F">
            <w:pPr>
              <w:spacing w:line="240" w:lineRule="auto"/>
              <w:ind w:left="284" w:hanging="284"/>
              <w:rPr>
                <w:color w:val="auto"/>
                <w:sz w:val="18"/>
                <w:szCs w:val="18"/>
              </w:rPr>
            </w:pPr>
            <w:r w:rsidRPr="00B7721F">
              <w:rPr>
                <w:color w:val="auto"/>
                <w:sz w:val="18"/>
                <w:szCs w:val="18"/>
                <w:lang w:bidi="x-none"/>
              </w:rPr>
              <w:t>-</w:t>
            </w:r>
            <w:r w:rsidRPr="00B7721F">
              <w:rPr>
                <w:color w:val="auto"/>
                <w:sz w:val="18"/>
                <w:szCs w:val="18"/>
                <w:lang w:bidi="x-none"/>
              </w:rPr>
              <w:tab/>
            </w:r>
            <w:r w:rsidR="00A70C79">
              <w:rPr>
                <w:color w:val="auto"/>
                <w:sz w:val="18"/>
                <w:szCs w:val="18"/>
                <w:lang w:bidi="x-none"/>
              </w:rPr>
              <w:t>als</w:t>
            </w:r>
            <w:r w:rsidRPr="00B7721F">
              <w:rPr>
                <w:color w:val="auto"/>
                <w:sz w:val="18"/>
                <w:szCs w:val="18"/>
                <w:lang w:bidi="x-none"/>
              </w:rPr>
              <w:t xml:space="preserve"> de interne juridische expertise/</w:t>
            </w:r>
            <w:r w:rsidR="00A70C79">
              <w:rPr>
                <w:color w:val="auto"/>
                <w:sz w:val="18"/>
                <w:szCs w:val="18"/>
                <w:lang w:bidi="x-none"/>
              </w:rPr>
              <w:t xml:space="preserve"> </w:t>
            </w:r>
            <w:r w:rsidRPr="00B7721F">
              <w:rPr>
                <w:color w:val="auto"/>
                <w:sz w:val="18"/>
                <w:szCs w:val="18"/>
                <w:lang w:bidi="x-none"/>
              </w:rPr>
              <w:t>capaciteit ontoereikend is (op specifieke juridische aandachtsgebieden c.q. diepgang, de afhandeling van gerechtelijke procedures e.d.) wordt externe juridische expertise ingeschakeld voor ondersteuning en advisering.</w:t>
            </w:r>
          </w:p>
        </w:tc>
        <w:tc>
          <w:tcPr>
            <w:tcW w:w="3784" w:type="dxa"/>
            <w:tcBorders>
              <w:bottom w:val="single" w:sz="4" w:space="0" w:color="auto"/>
            </w:tcBorders>
            <w:shd w:val="clear" w:color="auto" w:fill="auto"/>
            <w:tcMar>
              <w:top w:w="57" w:type="dxa"/>
              <w:bottom w:w="57" w:type="dxa"/>
            </w:tcMar>
          </w:tcPr>
          <w:p w:rsidR="00B7721F" w:rsidRPr="00B7721F" w:rsidRDefault="00A70C79" w:rsidP="00670F99">
            <w:pPr>
              <w:spacing w:line="240" w:lineRule="auto"/>
              <w:ind w:left="284" w:hanging="284"/>
              <w:rPr>
                <w:color w:val="auto"/>
                <w:sz w:val="18"/>
                <w:szCs w:val="18"/>
              </w:rPr>
            </w:pPr>
            <w:r>
              <w:rPr>
                <w:color w:val="auto"/>
                <w:sz w:val="18"/>
                <w:szCs w:val="18"/>
              </w:rPr>
              <w:t>-</w:t>
            </w:r>
            <w:r>
              <w:rPr>
                <w:color w:val="auto"/>
                <w:sz w:val="18"/>
                <w:szCs w:val="18"/>
              </w:rPr>
              <w:tab/>
            </w:r>
            <w:r w:rsidR="00B7721F" w:rsidRPr="00B7721F">
              <w:rPr>
                <w:color w:val="auto"/>
                <w:sz w:val="18"/>
                <w:szCs w:val="18"/>
              </w:rPr>
              <w:t>Gelijk aan II</w:t>
            </w:r>
            <w:r>
              <w:rPr>
                <w:color w:val="auto"/>
                <w:sz w:val="18"/>
                <w:szCs w:val="18"/>
              </w:rPr>
              <w:t>.</w:t>
            </w:r>
          </w:p>
        </w:tc>
        <w:tc>
          <w:tcPr>
            <w:tcW w:w="565" w:type="dxa"/>
            <w:vMerge/>
            <w:tcMar>
              <w:top w:w="57" w:type="dxa"/>
              <w:bottom w:w="57" w:type="dxa"/>
            </w:tcMar>
            <w:textDirection w:val="tbRl"/>
            <w:vAlign w:val="center"/>
          </w:tcPr>
          <w:p w:rsidR="00B7721F" w:rsidRDefault="00B7721F" w:rsidP="001F1098">
            <w:pPr>
              <w:spacing w:line="240" w:lineRule="auto"/>
              <w:ind w:left="397" w:right="113" w:hanging="284"/>
              <w:jc w:val="center"/>
              <w:rPr>
                <w:color w:val="auto"/>
                <w:sz w:val="18"/>
                <w:szCs w:val="18"/>
                <w:lang w:bidi="x-none"/>
              </w:rPr>
            </w:pPr>
          </w:p>
        </w:tc>
      </w:tr>
      <w:tr w:rsidR="00C2635C" w:rsidRPr="008E2758" w:rsidTr="000C1006">
        <w:trPr>
          <w:trHeight w:val="1187"/>
        </w:trPr>
        <w:tc>
          <w:tcPr>
            <w:tcW w:w="2090" w:type="dxa"/>
            <w:tcBorders>
              <w:bottom w:val="single" w:sz="4" w:space="0" w:color="auto"/>
            </w:tcBorders>
            <w:shd w:val="clear" w:color="auto" w:fill="auto"/>
            <w:tcMar>
              <w:top w:w="57" w:type="dxa"/>
              <w:bottom w:w="57" w:type="dxa"/>
            </w:tcMar>
          </w:tcPr>
          <w:p w:rsidR="001F1098" w:rsidRPr="008E2758" w:rsidRDefault="00013D97" w:rsidP="001F1098">
            <w:pPr>
              <w:spacing w:line="240" w:lineRule="auto"/>
              <w:rPr>
                <w:b/>
                <w:color w:val="F18213"/>
                <w:sz w:val="18"/>
                <w:szCs w:val="18"/>
                <w:lang w:bidi="x-none"/>
              </w:rPr>
            </w:pPr>
            <w:r>
              <w:rPr>
                <w:b/>
                <w:color w:val="F18213"/>
                <w:sz w:val="18"/>
                <w:szCs w:val="18"/>
                <w:lang w:bidi="x-none"/>
              </w:rPr>
              <w:t>Leidinggeven</w:t>
            </w:r>
          </w:p>
        </w:tc>
        <w:tc>
          <w:tcPr>
            <w:tcW w:w="565" w:type="dxa"/>
            <w:vMerge/>
            <w:tcMar>
              <w:top w:w="57" w:type="dxa"/>
              <w:bottom w:w="57" w:type="dxa"/>
            </w:tcMar>
            <w:textDirection w:val="tbRl"/>
            <w:vAlign w:val="center"/>
          </w:tcPr>
          <w:p w:rsidR="001F1098" w:rsidRPr="00030423" w:rsidRDefault="001F1098" w:rsidP="001F1098">
            <w:pPr>
              <w:spacing w:line="240" w:lineRule="auto"/>
              <w:ind w:left="284" w:right="113" w:hanging="284"/>
              <w:jc w:val="center"/>
              <w:rPr>
                <w:color w:val="auto"/>
                <w:sz w:val="18"/>
                <w:szCs w:val="18"/>
                <w:lang w:bidi="x-none"/>
              </w:rPr>
            </w:pPr>
          </w:p>
        </w:tc>
        <w:tc>
          <w:tcPr>
            <w:tcW w:w="3784" w:type="dxa"/>
            <w:tcBorders>
              <w:bottom w:val="single" w:sz="4" w:space="0" w:color="auto"/>
            </w:tcBorders>
            <w:tcMar>
              <w:top w:w="57" w:type="dxa"/>
              <w:bottom w:w="57" w:type="dxa"/>
            </w:tcMar>
          </w:tcPr>
          <w:p w:rsidR="001F1098" w:rsidRPr="00030423" w:rsidRDefault="00A70C79" w:rsidP="00670F99">
            <w:pPr>
              <w:spacing w:line="240" w:lineRule="auto"/>
              <w:ind w:left="284" w:hanging="284"/>
              <w:rPr>
                <w:color w:val="auto"/>
                <w:sz w:val="18"/>
                <w:szCs w:val="18"/>
              </w:rPr>
            </w:pPr>
            <w:r>
              <w:rPr>
                <w:color w:val="auto"/>
                <w:sz w:val="18"/>
                <w:szCs w:val="18"/>
              </w:rPr>
              <w:t>-</w:t>
            </w:r>
            <w:r>
              <w:rPr>
                <w:color w:val="auto"/>
                <w:sz w:val="18"/>
                <w:szCs w:val="18"/>
              </w:rPr>
              <w:tab/>
            </w:r>
            <w:r w:rsidR="00013D97">
              <w:rPr>
                <w:color w:val="auto"/>
                <w:sz w:val="18"/>
                <w:szCs w:val="18"/>
              </w:rPr>
              <w:t>Niet van toepassing</w:t>
            </w:r>
            <w:r>
              <w:rPr>
                <w:color w:val="auto"/>
                <w:sz w:val="18"/>
                <w:szCs w:val="18"/>
              </w:rPr>
              <w:t>.</w:t>
            </w:r>
          </w:p>
          <w:p w:rsidR="001F1098" w:rsidRPr="00030423" w:rsidRDefault="001F1098" w:rsidP="00670F99">
            <w:pPr>
              <w:spacing w:line="240" w:lineRule="auto"/>
              <w:ind w:left="284" w:hanging="284"/>
              <w:rPr>
                <w:color w:val="auto"/>
                <w:sz w:val="18"/>
                <w:szCs w:val="18"/>
              </w:rPr>
            </w:pPr>
          </w:p>
        </w:tc>
        <w:tc>
          <w:tcPr>
            <w:tcW w:w="3784" w:type="dxa"/>
            <w:tcBorders>
              <w:bottom w:val="single" w:sz="4" w:space="0" w:color="auto"/>
            </w:tcBorders>
            <w:shd w:val="clear" w:color="auto" w:fill="D9D9D9" w:themeFill="background1" w:themeFillShade="D9"/>
            <w:tcMar>
              <w:top w:w="57" w:type="dxa"/>
              <w:bottom w:w="57" w:type="dxa"/>
            </w:tcMar>
          </w:tcPr>
          <w:p w:rsidR="001F1098" w:rsidRPr="00030423" w:rsidRDefault="00A70C79" w:rsidP="00670F99">
            <w:pPr>
              <w:spacing w:line="240" w:lineRule="auto"/>
              <w:ind w:left="284" w:hanging="284"/>
              <w:rPr>
                <w:color w:val="auto"/>
                <w:sz w:val="18"/>
                <w:szCs w:val="18"/>
              </w:rPr>
            </w:pPr>
            <w:r>
              <w:rPr>
                <w:color w:val="auto"/>
                <w:sz w:val="18"/>
                <w:szCs w:val="18"/>
              </w:rPr>
              <w:t>-</w:t>
            </w:r>
            <w:r>
              <w:rPr>
                <w:color w:val="auto"/>
                <w:sz w:val="18"/>
                <w:szCs w:val="18"/>
              </w:rPr>
              <w:tab/>
            </w:r>
            <w:r w:rsidR="00013D97">
              <w:rPr>
                <w:color w:val="auto"/>
                <w:sz w:val="18"/>
                <w:szCs w:val="18"/>
              </w:rPr>
              <w:t>Niet van toepassing</w:t>
            </w:r>
            <w:r>
              <w:rPr>
                <w:color w:val="auto"/>
                <w:sz w:val="18"/>
                <w:szCs w:val="18"/>
              </w:rPr>
              <w:t>.</w:t>
            </w:r>
          </w:p>
          <w:p w:rsidR="001F1098" w:rsidRPr="00030423" w:rsidRDefault="001F1098" w:rsidP="00670F99">
            <w:pPr>
              <w:spacing w:line="240" w:lineRule="auto"/>
              <w:ind w:left="284" w:hanging="284"/>
              <w:rPr>
                <w:color w:val="auto"/>
                <w:sz w:val="18"/>
                <w:szCs w:val="18"/>
              </w:rPr>
            </w:pPr>
          </w:p>
        </w:tc>
        <w:tc>
          <w:tcPr>
            <w:tcW w:w="3784" w:type="dxa"/>
            <w:tcBorders>
              <w:bottom w:val="single" w:sz="4" w:space="0" w:color="auto"/>
            </w:tcBorders>
            <w:shd w:val="clear" w:color="auto" w:fill="auto"/>
            <w:tcMar>
              <w:top w:w="57" w:type="dxa"/>
              <w:bottom w:w="57" w:type="dxa"/>
            </w:tcMar>
          </w:tcPr>
          <w:p w:rsidR="001F1098" w:rsidRPr="00030423" w:rsidRDefault="00A70C79" w:rsidP="000C1006">
            <w:pPr>
              <w:spacing w:line="240" w:lineRule="auto"/>
              <w:ind w:left="284" w:hanging="284"/>
              <w:rPr>
                <w:color w:val="auto"/>
                <w:sz w:val="18"/>
                <w:szCs w:val="18"/>
              </w:rPr>
            </w:pPr>
            <w:r>
              <w:rPr>
                <w:color w:val="auto"/>
                <w:sz w:val="18"/>
                <w:szCs w:val="18"/>
              </w:rPr>
              <w:t>-</w:t>
            </w:r>
            <w:r>
              <w:rPr>
                <w:color w:val="auto"/>
                <w:sz w:val="18"/>
                <w:szCs w:val="18"/>
              </w:rPr>
              <w:tab/>
            </w:r>
            <w:r w:rsidR="00013D97">
              <w:rPr>
                <w:color w:val="auto"/>
                <w:sz w:val="18"/>
                <w:szCs w:val="18"/>
              </w:rPr>
              <w:t>Leidingg</w:t>
            </w:r>
            <w:r>
              <w:rPr>
                <w:color w:val="auto"/>
                <w:sz w:val="18"/>
                <w:szCs w:val="18"/>
              </w:rPr>
              <w:t>evend naar team van juristen (ongeveer vijf</w:t>
            </w:r>
            <w:r w:rsidR="00013D97">
              <w:rPr>
                <w:color w:val="auto"/>
                <w:sz w:val="18"/>
                <w:szCs w:val="18"/>
              </w:rPr>
              <w:t xml:space="preserve"> medewerkers) waarbij de focus, naast </w:t>
            </w:r>
            <w:r w:rsidR="00B7721F">
              <w:rPr>
                <w:color w:val="auto"/>
                <w:sz w:val="18"/>
                <w:szCs w:val="18"/>
              </w:rPr>
              <w:t xml:space="preserve">management en </w:t>
            </w:r>
            <w:r w:rsidR="00013D97">
              <w:rPr>
                <w:color w:val="auto"/>
                <w:sz w:val="18"/>
                <w:szCs w:val="18"/>
              </w:rPr>
              <w:t>de reguliere toepassing van de personeels</w:t>
            </w:r>
            <w:r w:rsidR="00FA1000">
              <w:rPr>
                <w:color w:val="auto"/>
                <w:sz w:val="18"/>
                <w:szCs w:val="18"/>
              </w:rPr>
              <w:softHyphen/>
            </w:r>
            <w:r w:rsidR="00013D97">
              <w:rPr>
                <w:color w:val="auto"/>
                <w:sz w:val="18"/>
                <w:szCs w:val="18"/>
              </w:rPr>
              <w:t xml:space="preserve">instrumenten, ligt op klankborden </w:t>
            </w:r>
            <w:r w:rsidR="00526011">
              <w:rPr>
                <w:color w:val="auto"/>
                <w:sz w:val="18"/>
                <w:szCs w:val="18"/>
              </w:rPr>
              <w:t>over</w:t>
            </w:r>
            <w:r w:rsidR="00013D97">
              <w:rPr>
                <w:color w:val="auto"/>
                <w:sz w:val="18"/>
                <w:szCs w:val="18"/>
              </w:rPr>
              <w:t xml:space="preserve"> complexe/impactvolle juridische aangelegenheden.</w:t>
            </w:r>
            <w:bookmarkStart w:id="0" w:name="_GoBack"/>
            <w:bookmarkEnd w:id="0"/>
          </w:p>
        </w:tc>
        <w:tc>
          <w:tcPr>
            <w:tcW w:w="565" w:type="dxa"/>
            <w:vMerge/>
            <w:tcMar>
              <w:top w:w="57" w:type="dxa"/>
              <w:bottom w:w="57" w:type="dxa"/>
            </w:tcMar>
            <w:textDirection w:val="tbRl"/>
            <w:vAlign w:val="center"/>
          </w:tcPr>
          <w:p w:rsidR="001F1098" w:rsidRPr="008E2758" w:rsidRDefault="001F1098" w:rsidP="001F1098">
            <w:pPr>
              <w:spacing w:line="240" w:lineRule="auto"/>
              <w:ind w:left="397" w:right="113" w:hanging="284"/>
              <w:jc w:val="center"/>
              <w:rPr>
                <w:color w:val="auto"/>
                <w:sz w:val="18"/>
                <w:szCs w:val="18"/>
                <w:lang w:bidi="x-none"/>
              </w:rPr>
            </w:pPr>
          </w:p>
        </w:tc>
      </w:tr>
      <w:tr w:rsidR="007D14B2" w:rsidRPr="007D14B2" w:rsidTr="00013D97">
        <w:trPr>
          <w:trHeight w:val="245"/>
        </w:trPr>
        <w:tc>
          <w:tcPr>
            <w:tcW w:w="2090" w:type="dxa"/>
            <w:shd w:val="clear" w:color="auto" w:fill="F18213"/>
            <w:tcMar>
              <w:top w:w="57" w:type="dxa"/>
              <w:bottom w:w="57" w:type="dxa"/>
            </w:tcMar>
            <w:vAlign w:val="center"/>
          </w:tcPr>
          <w:p w:rsidR="001F1098" w:rsidRPr="007D14B2" w:rsidRDefault="001F1098" w:rsidP="001F1098">
            <w:pPr>
              <w:spacing w:line="240" w:lineRule="auto"/>
              <w:rPr>
                <w:b/>
                <w:color w:val="FFFFFF" w:themeColor="background1"/>
                <w:sz w:val="18"/>
                <w:szCs w:val="18"/>
                <w:lang w:bidi="x-none"/>
              </w:rPr>
            </w:pPr>
            <w:r w:rsidRPr="007D14B2">
              <w:rPr>
                <w:b/>
                <w:color w:val="FFFFFF" w:themeColor="background1"/>
                <w:sz w:val="18"/>
                <w:szCs w:val="18"/>
                <w:lang w:bidi="x-none"/>
              </w:rPr>
              <w:t>Functiegroep</w:t>
            </w:r>
          </w:p>
        </w:tc>
        <w:tc>
          <w:tcPr>
            <w:tcW w:w="565" w:type="dxa"/>
            <w:shd w:val="clear" w:color="auto" w:fill="F18213"/>
            <w:tcMar>
              <w:top w:w="57" w:type="dxa"/>
              <w:bottom w:w="57" w:type="dxa"/>
            </w:tcMar>
            <w:vAlign w:val="center"/>
          </w:tcPr>
          <w:p w:rsidR="001F1098" w:rsidRPr="007D14B2" w:rsidRDefault="001F1098" w:rsidP="001F1098">
            <w:pPr>
              <w:spacing w:line="240" w:lineRule="auto"/>
              <w:jc w:val="center"/>
              <w:rPr>
                <w:b/>
                <w:color w:val="FFFFFF" w:themeColor="background1"/>
                <w:sz w:val="18"/>
                <w:szCs w:val="18"/>
                <w:lang w:bidi="x-none"/>
              </w:rPr>
            </w:pPr>
          </w:p>
        </w:tc>
        <w:tc>
          <w:tcPr>
            <w:tcW w:w="3784" w:type="dxa"/>
            <w:shd w:val="clear" w:color="auto" w:fill="F18213"/>
            <w:tcMar>
              <w:top w:w="57" w:type="dxa"/>
              <w:bottom w:w="57" w:type="dxa"/>
            </w:tcMar>
            <w:vAlign w:val="center"/>
          </w:tcPr>
          <w:p w:rsidR="001F1098" w:rsidRPr="007D14B2" w:rsidRDefault="00013D97" w:rsidP="001F1098">
            <w:pPr>
              <w:spacing w:line="240" w:lineRule="auto"/>
              <w:jc w:val="center"/>
              <w:rPr>
                <w:b/>
                <w:color w:val="FFFFFF" w:themeColor="background1"/>
                <w:sz w:val="18"/>
                <w:szCs w:val="18"/>
                <w:lang w:bidi="x-none"/>
              </w:rPr>
            </w:pPr>
            <w:r w:rsidRPr="007D14B2">
              <w:rPr>
                <w:b/>
                <w:color w:val="FFFFFF" w:themeColor="background1"/>
                <w:sz w:val="18"/>
                <w:szCs w:val="18"/>
                <w:lang w:bidi="x-none"/>
              </w:rPr>
              <w:t>1</w:t>
            </w:r>
            <w:r w:rsidR="00156F8D" w:rsidRPr="007D14B2">
              <w:rPr>
                <w:b/>
                <w:color w:val="FFFFFF" w:themeColor="background1"/>
                <w:sz w:val="18"/>
                <w:szCs w:val="18"/>
                <w:lang w:bidi="x-none"/>
              </w:rPr>
              <w:t>1</w:t>
            </w:r>
          </w:p>
        </w:tc>
        <w:tc>
          <w:tcPr>
            <w:tcW w:w="3784" w:type="dxa"/>
            <w:shd w:val="clear" w:color="auto" w:fill="F18213"/>
            <w:tcMar>
              <w:top w:w="57" w:type="dxa"/>
              <w:bottom w:w="57" w:type="dxa"/>
            </w:tcMar>
            <w:vAlign w:val="center"/>
          </w:tcPr>
          <w:p w:rsidR="001F1098" w:rsidRPr="007D14B2" w:rsidRDefault="00156F8D" w:rsidP="001F1098">
            <w:pPr>
              <w:spacing w:line="240" w:lineRule="auto"/>
              <w:jc w:val="center"/>
              <w:rPr>
                <w:b/>
                <w:color w:val="FFFFFF" w:themeColor="background1"/>
                <w:sz w:val="18"/>
                <w:szCs w:val="18"/>
                <w:lang w:bidi="x-none"/>
              </w:rPr>
            </w:pPr>
            <w:r w:rsidRPr="007D14B2">
              <w:rPr>
                <w:b/>
                <w:color w:val="FFFFFF" w:themeColor="background1"/>
                <w:sz w:val="18"/>
                <w:szCs w:val="18"/>
                <w:lang w:bidi="x-none"/>
              </w:rPr>
              <w:t>12</w:t>
            </w:r>
          </w:p>
        </w:tc>
        <w:tc>
          <w:tcPr>
            <w:tcW w:w="3784" w:type="dxa"/>
            <w:shd w:val="clear" w:color="auto" w:fill="F18213"/>
            <w:tcMar>
              <w:top w:w="57" w:type="dxa"/>
              <w:bottom w:w="57" w:type="dxa"/>
            </w:tcMar>
            <w:vAlign w:val="center"/>
          </w:tcPr>
          <w:p w:rsidR="001F1098" w:rsidRPr="007D14B2" w:rsidRDefault="00156F8D" w:rsidP="001F1098">
            <w:pPr>
              <w:spacing w:line="240" w:lineRule="auto"/>
              <w:jc w:val="center"/>
              <w:rPr>
                <w:b/>
                <w:color w:val="FFFFFF" w:themeColor="background1"/>
                <w:sz w:val="18"/>
                <w:szCs w:val="18"/>
                <w:lang w:bidi="x-none"/>
              </w:rPr>
            </w:pPr>
            <w:r w:rsidRPr="007D14B2">
              <w:rPr>
                <w:b/>
                <w:color w:val="FFFFFF" w:themeColor="background1"/>
                <w:sz w:val="18"/>
                <w:szCs w:val="18"/>
                <w:lang w:bidi="x-none"/>
              </w:rPr>
              <w:t>13</w:t>
            </w:r>
          </w:p>
        </w:tc>
        <w:tc>
          <w:tcPr>
            <w:tcW w:w="565" w:type="dxa"/>
            <w:shd w:val="clear" w:color="auto" w:fill="F18213"/>
            <w:tcMar>
              <w:top w:w="57" w:type="dxa"/>
              <w:bottom w:w="57" w:type="dxa"/>
            </w:tcMar>
            <w:vAlign w:val="center"/>
          </w:tcPr>
          <w:p w:rsidR="001F1098" w:rsidRPr="007D14B2" w:rsidRDefault="001F1098" w:rsidP="001F1098">
            <w:pPr>
              <w:spacing w:line="240" w:lineRule="auto"/>
              <w:jc w:val="center"/>
              <w:rPr>
                <w:b/>
                <w:color w:val="FFFFFF" w:themeColor="background1"/>
                <w:sz w:val="18"/>
                <w:szCs w:val="18"/>
                <w:lang w:bidi="x-none"/>
              </w:rPr>
            </w:pPr>
          </w:p>
        </w:tc>
      </w:tr>
    </w:tbl>
    <w:p w:rsidR="00000E55" w:rsidRPr="00EA239E" w:rsidRDefault="00000E55" w:rsidP="00E30072">
      <w:pPr>
        <w:tabs>
          <w:tab w:val="left" w:pos="1843"/>
        </w:tabs>
        <w:spacing w:line="240" w:lineRule="auto"/>
        <w:jc w:val="right"/>
        <w:rPr>
          <w:color w:val="auto"/>
          <w:sz w:val="14"/>
          <w:szCs w:val="14"/>
        </w:rPr>
      </w:pPr>
    </w:p>
    <w:sectPr w:rsidR="00000E55" w:rsidRPr="00EA239E" w:rsidSect="002F757B">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594" w:rsidRDefault="00BC5594" w:rsidP="00000E55">
      <w:pPr>
        <w:spacing w:line="240" w:lineRule="auto"/>
      </w:pPr>
      <w:r>
        <w:separator/>
      </w:r>
    </w:p>
  </w:endnote>
  <w:endnote w:type="continuationSeparator" w:id="0">
    <w:p w:rsidR="00BC5594" w:rsidRDefault="00BC5594" w:rsidP="00000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11" w:rsidRDefault="005260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6B" w:rsidRPr="00811669" w:rsidRDefault="00811669" w:rsidP="00811669">
    <w:pPr>
      <w:pStyle w:val="Voettekst"/>
      <w:jc w:val="left"/>
    </w:pPr>
    <w:r>
      <w:rPr>
        <w:color w:val="auto"/>
        <w:sz w:val="16"/>
      </w:rPr>
      <w:t>Opgesteld do</w:t>
    </w:r>
    <w:r w:rsidR="007D14B2">
      <w:rPr>
        <w:color w:val="auto"/>
        <w:sz w:val="16"/>
      </w:rPr>
      <w:t xml:space="preserve">or </w:t>
    </w:r>
    <w:proofErr w:type="gramStart"/>
    <w:r w:rsidR="007D14B2">
      <w:rPr>
        <w:color w:val="auto"/>
        <w:sz w:val="16"/>
      </w:rPr>
      <w:t>EVZ organisatie</w:t>
    </w:r>
    <w:proofErr w:type="gramEnd"/>
    <w:r w:rsidR="007D14B2">
      <w:rPr>
        <w:color w:val="auto"/>
        <w:sz w:val="16"/>
      </w:rPr>
      <w:t>-advies | 1709</w:t>
    </w:r>
    <w:r>
      <w:rPr>
        <w:color w:val="auto"/>
        <w:sz w:val="16"/>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11" w:rsidRDefault="005260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594" w:rsidRDefault="00BC5594" w:rsidP="00000E55">
      <w:pPr>
        <w:spacing w:line="240" w:lineRule="auto"/>
      </w:pPr>
      <w:r>
        <w:separator/>
      </w:r>
    </w:p>
  </w:footnote>
  <w:footnote w:type="continuationSeparator" w:id="0">
    <w:p w:rsidR="00BC5594" w:rsidRDefault="00BC5594" w:rsidP="00000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11" w:rsidRDefault="005260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252" w:rsidRPr="002E4A7B" w:rsidRDefault="00C1576B" w:rsidP="00A166B6">
    <w:pPr>
      <w:pStyle w:val="Koptekst"/>
      <w:tabs>
        <w:tab w:val="clear" w:pos="4153"/>
        <w:tab w:val="clear" w:pos="8306"/>
        <w:tab w:val="center" w:pos="8364"/>
        <w:tab w:val="right" w:pos="15168"/>
      </w:tabs>
      <w:spacing w:line="200" w:lineRule="atLeast"/>
      <w:ind w:right="-32"/>
      <w:jc w:val="left"/>
      <w:rPr>
        <w:color w:val="auto"/>
        <w:lang w:eastAsia="nl-NL"/>
      </w:rPr>
    </w:pPr>
    <w:r w:rsidRPr="00940B0B">
      <w:rPr>
        <w:caps/>
        <w:color w:val="auto"/>
      </w:rPr>
      <w:t>Niveau-</w:t>
    </w:r>
    <w:r w:rsidR="00896252" w:rsidRPr="00940B0B">
      <w:rPr>
        <w:caps/>
        <w:color w:val="auto"/>
      </w:rPr>
      <w:t>onderscheidende kenmerken</w:t>
    </w:r>
    <w:r w:rsidR="00896252" w:rsidRPr="00000E55">
      <w:rPr>
        <w:caps/>
        <w:color w:val="auto"/>
      </w:rPr>
      <w:t xml:space="preserve"> (nok)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11" w:rsidRDefault="005260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866A0"/>
    <w:multiLevelType w:val="hybridMultilevel"/>
    <w:tmpl w:val="3220727E"/>
    <w:lvl w:ilvl="0" w:tplc="FD0C5A80">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6AD7"/>
    <w:multiLevelType w:val="hybridMultilevel"/>
    <w:tmpl w:val="C16854EC"/>
    <w:lvl w:ilvl="0" w:tplc="327653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42EE8"/>
    <w:multiLevelType w:val="hybridMultilevel"/>
    <w:tmpl w:val="734207E4"/>
    <w:lvl w:ilvl="0" w:tplc="6578151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FE"/>
    <w:rsid w:val="000002C6"/>
    <w:rsid w:val="00000E55"/>
    <w:rsid w:val="00013D97"/>
    <w:rsid w:val="00030423"/>
    <w:rsid w:val="000406C1"/>
    <w:rsid w:val="000408FE"/>
    <w:rsid w:val="00096618"/>
    <w:rsid w:val="000A552B"/>
    <w:rsid w:val="000B3A7E"/>
    <w:rsid w:val="000C1006"/>
    <w:rsid w:val="000F1094"/>
    <w:rsid w:val="00127F89"/>
    <w:rsid w:val="00135C6C"/>
    <w:rsid w:val="00143564"/>
    <w:rsid w:val="00152030"/>
    <w:rsid w:val="00156F8D"/>
    <w:rsid w:val="00165F3F"/>
    <w:rsid w:val="00170AD9"/>
    <w:rsid w:val="001D05F3"/>
    <w:rsid w:val="001F1098"/>
    <w:rsid w:val="002175CB"/>
    <w:rsid w:val="00222740"/>
    <w:rsid w:val="002300E5"/>
    <w:rsid w:val="00235EDC"/>
    <w:rsid w:val="00252B48"/>
    <w:rsid w:val="00256E9E"/>
    <w:rsid w:val="0026005D"/>
    <w:rsid w:val="00285B07"/>
    <w:rsid w:val="00285C83"/>
    <w:rsid w:val="00286818"/>
    <w:rsid w:val="002A6332"/>
    <w:rsid w:val="002B121C"/>
    <w:rsid w:val="002B3C7B"/>
    <w:rsid w:val="002D343F"/>
    <w:rsid w:val="002E4A7B"/>
    <w:rsid w:val="002E7055"/>
    <w:rsid w:val="002F757B"/>
    <w:rsid w:val="00302CD0"/>
    <w:rsid w:val="00356210"/>
    <w:rsid w:val="0035757F"/>
    <w:rsid w:val="00361970"/>
    <w:rsid w:val="00362F47"/>
    <w:rsid w:val="00382DF5"/>
    <w:rsid w:val="003A770D"/>
    <w:rsid w:val="003D0AC3"/>
    <w:rsid w:val="003D5E8F"/>
    <w:rsid w:val="003F00FD"/>
    <w:rsid w:val="003F0B83"/>
    <w:rsid w:val="004260D8"/>
    <w:rsid w:val="00426453"/>
    <w:rsid w:val="0044065F"/>
    <w:rsid w:val="00466242"/>
    <w:rsid w:val="00471FF6"/>
    <w:rsid w:val="00474625"/>
    <w:rsid w:val="00491775"/>
    <w:rsid w:val="00491BDF"/>
    <w:rsid w:val="00492920"/>
    <w:rsid w:val="004A505A"/>
    <w:rsid w:val="004A6A46"/>
    <w:rsid w:val="004B69A0"/>
    <w:rsid w:val="004B7DBE"/>
    <w:rsid w:val="004C4604"/>
    <w:rsid w:val="004C4C68"/>
    <w:rsid w:val="004D03F1"/>
    <w:rsid w:val="004D56EB"/>
    <w:rsid w:val="004F0D1F"/>
    <w:rsid w:val="004F4385"/>
    <w:rsid w:val="005009E1"/>
    <w:rsid w:val="00526011"/>
    <w:rsid w:val="005316AA"/>
    <w:rsid w:val="00554835"/>
    <w:rsid w:val="00580AB9"/>
    <w:rsid w:val="00587C0A"/>
    <w:rsid w:val="00594972"/>
    <w:rsid w:val="005D4F42"/>
    <w:rsid w:val="0062683E"/>
    <w:rsid w:val="006574A0"/>
    <w:rsid w:val="00670F99"/>
    <w:rsid w:val="00681D67"/>
    <w:rsid w:val="006865A6"/>
    <w:rsid w:val="006970E3"/>
    <w:rsid w:val="006B622C"/>
    <w:rsid w:val="006D10BD"/>
    <w:rsid w:val="006D425F"/>
    <w:rsid w:val="006D50C2"/>
    <w:rsid w:val="006E0743"/>
    <w:rsid w:val="006E3EF3"/>
    <w:rsid w:val="007210EB"/>
    <w:rsid w:val="00725FAF"/>
    <w:rsid w:val="00740804"/>
    <w:rsid w:val="00755377"/>
    <w:rsid w:val="00765374"/>
    <w:rsid w:val="007713F1"/>
    <w:rsid w:val="007A13C4"/>
    <w:rsid w:val="007A16E7"/>
    <w:rsid w:val="007B4D88"/>
    <w:rsid w:val="007C2641"/>
    <w:rsid w:val="007D14B2"/>
    <w:rsid w:val="007E597A"/>
    <w:rsid w:val="007F607F"/>
    <w:rsid w:val="00811669"/>
    <w:rsid w:val="008427BC"/>
    <w:rsid w:val="00860B0F"/>
    <w:rsid w:val="00882401"/>
    <w:rsid w:val="00884EEC"/>
    <w:rsid w:val="00886A57"/>
    <w:rsid w:val="00892002"/>
    <w:rsid w:val="00896252"/>
    <w:rsid w:val="00896C6D"/>
    <w:rsid w:val="008A1ADD"/>
    <w:rsid w:val="008A72E7"/>
    <w:rsid w:val="008B64C7"/>
    <w:rsid w:val="008C61EB"/>
    <w:rsid w:val="008D12ED"/>
    <w:rsid w:val="008E2758"/>
    <w:rsid w:val="00904BBB"/>
    <w:rsid w:val="00920637"/>
    <w:rsid w:val="00925A08"/>
    <w:rsid w:val="00940B0B"/>
    <w:rsid w:val="00942050"/>
    <w:rsid w:val="00945775"/>
    <w:rsid w:val="009900D8"/>
    <w:rsid w:val="009A1665"/>
    <w:rsid w:val="009C5FF6"/>
    <w:rsid w:val="009E680B"/>
    <w:rsid w:val="009F2344"/>
    <w:rsid w:val="00A1553E"/>
    <w:rsid w:val="00A166B6"/>
    <w:rsid w:val="00A4614C"/>
    <w:rsid w:val="00A6107E"/>
    <w:rsid w:val="00A67EF5"/>
    <w:rsid w:val="00A70A7C"/>
    <w:rsid w:val="00A70C79"/>
    <w:rsid w:val="00A76CC9"/>
    <w:rsid w:val="00A77B31"/>
    <w:rsid w:val="00A85366"/>
    <w:rsid w:val="00AA570A"/>
    <w:rsid w:val="00AB3665"/>
    <w:rsid w:val="00AB6F17"/>
    <w:rsid w:val="00AE11B8"/>
    <w:rsid w:val="00AF6A5B"/>
    <w:rsid w:val="00AF6C2A"/>
    <w:rsid w:val="00B02519"/>
    <w:rsid w:val="00B168B1"/>
    <w:rsid w:val="00B33775"/>
    <w:rsid w:val="00B37723"/>
    <w:rsid w:val="00B5398A"/>
    <w:rsid w:val="00B72FD7"/>
    <w:rsid w:val="00B7721F"/>
    <w:rsid w:val="00B83555"/>
    <w:rsid w:val="00B8547F"/>
    <w:rsid w:val="00B950D1"/>
    <w:rsid w:val="00BB0843"/>
    <w:rsid w:val="00BB5502"/>
    <w:rsid w:val="00BC5594"/>
    <w:rsid w:val="00BD4F99"/>
    <w:rsid w:val="00BD6084"/>
    <w:rsid w:val="00C058B1"/>
    <w:rsid w:val="00C1576B"/>
    <w:rsid w:val="00C1756A"/>
    <w:rsid w:val="00C232A9"/>
    <w:rsid w:val="00C240D7"/>
    <w:rsid w:val="00C2635C"/>
    <w:rsid w:val="00C52D5F"/>
    <w:rsid w:val="00CA09EA"/>
    <w:rsid w:val="00CA6AC0"/>
    <w:rsid w:val="00CC4BF7"/>
    <w:rsid w:val="00CD5626"/>
    <w:rsid w:val="00D06B4C"/>
    <w:rsid w:val="00D51948"/>
    <w:rsid w:val="00D70DA9"/>
    <w:rsid w:val="00D91D39"/>
    <w:rsid w:val="00DA79D3"/>
    <w:rsid w:val="00DB4731"/>
    <w:rsid w:val="00DE0A8F"/>
    <w:rsid w:val="00DE1460"/>
    <w:rsid w:val="00E1795A"/>
    <w:rsid w:val="00E30072"/>
    <w:rsid w:val="00E320BA"/>
    <w:rsid w:val="00E33AC1"/>
    <w:rsid w:val="00E40A6D"/>
    <w:rsid w:val="00E561F8"/>
    <w:rsid w:val="00E56C5A"/>
    <w:rsid w:val="00E80C1B"/>
    <w:rsid w:val="00E8323F"/>
    <w:rsid w:val="00E87BF9"/>
    <w:rsid w:val="00E924CF"/>
    <w:rsid w:val="00E9461B"/>
    <w:rsid w:val="00E977A2"/>
    <w:rsid w:val="00EA239E"/>
    <w:rsid w:val="00EE640F"/>
    <w:rsid w:val="00EF7BD0"/>
    <w:rsid w:val="00F24D5B"/>
    <w:rsid w:val="00F276CE"/>
    <w:rsid w:val="00F35A5E"/>
    <w:rsid w:val="00F40F75"/>
    <w:rsid w:val="00F42DBA"/>
    <w:rsid w:val="00F524F7"/>
    <w:rsid w:val="00F6058F"/>
    <w:rsid w:val="00F740D2"/>
    <w:rsid w:val="00F7735D"/>
    <w:rsid w:val="00F8333A"/>
    <w:rsid w:val="00F8736A"/>
    <w:rsid w:val="00F93728"/>
    <w:rsid w:val="00FA1000"/>
    <w:rsid w:val="00FC28C1"/>
    <w:rsid w:val="00FD4D4B"/>
    <w:rsid w:val="00FE18E2"/>
    <w:rsid w:val="00FE47B3"/>
    <w:rsid w:val="00FF1E79"/>
    <w:rsid w:val="00FF5A0C"/>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A31B8CC1-DB13-3447-9E5B-ABA3FC60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4C4C68"/>
    <w:pPr>
      <w:ind w:left="720"/>
      <w:contextualSpacing/>
    </w:pPr>
  </w:style>
  <w:style w:type="paragraph" w:styleId="Ballontekst">
    <w:name w:val="Balloon Text"/>
    <w:basedOn w:val="Standaard"/>
    <w:link w:val="BallontekstChar"/>
    <w:uiPriority w:val="99"/>
    <w:semiHidden/>
    <w:unhideWhenUsed/>
    <w:rsid w:val="0062683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2683E"/>
    <w:rPr>
      <w:rFonts w:ascii="Lucida Grande" w:hAnsi="Lucida Grande" w:cs="Lucida Grande"/>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NOK3.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NOK3.dotx</Template>
  <TotalTime>47</TotalTime>
  <Pages>1</Pages>
  <Words>294</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FUNCTIENIVEAUMATRIX FUNCTIEFAMILIE “KEUKEN”: NIVEAU ONDERSCHEIDENDE KENMERKEN (NOK)</vt:lpstr>
    </vt:vector>
  </TitlesOfParts>
  <Company>EVZ Organisatie-adviseurs</Company>
  <LinksUpToDate>false</LinksUpToDate>
  <CharactersWithSpaces>1912</CharactersWithSpaces>
  <SharedDoc>false</SharedDoc>
  <HLinks>
    <vt:vector size="6" baseType="variant">
      <vt:variant>
        <vt:i4>3997786</vt:i4>
      </vt:variant>
      <vt:variant>
        <vt:i4>-1</vt:i4>
      </vt:variant>
      <vt:variant>
        <vt:i4>2051</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 EVZ</dc:creator>
  <cp:keywords/>
  <cp:lastModifiedBy>Maryvon Putman</cp:lastModifiedBy>
  <cp:revision>15</cp:revision>
  <cp:lastPrinted>2018-07-19T09:25:00Z</cp:lastPrinted>
  <dcterms:created xsi:type="dcterms:W3CDTF">2018-08-01T07:52:00Z</dcterms:created>
  <dcterms:modified xsi:type="dcterms:W3CDTF">2018-10-18T07:38:00Z</dcterms:modified>
</cp:coreProperties>
</file>